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C6" w:rsidRPr="009435C6" w:rsidRDefault="009435C6" w:rsidP="009435C6">
      <w:pPr>
        <w:spacing w:before="100" w:beforeAutospacing="1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9435C6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 xml:space="preserve">Naknada peljarenja na području </w:t>
      </w:r>
      <w:r w:rsidRPr="009435C6">
        <w:rPr>
          <w:rFonts w:ascii="Calibri" w:eastAsia="Times New Roman" w:hAnsi="Calibri" w:cs="Calibri"/>
          <w:b/>
          <w:bCs/>
          <w:i/>
          <w:iCs/>
          <w:color w:val="666666"/>
          <w:sz w:val="24"/>
          <w:szCs w:val="24"/>
          <w:lang w:eastAsia="hr-HR"/>
        </w:rPr>
        <w:t>Lučke kapetanije Pula: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ook w:val="04A0"/>
      </w:tblPr>
      <w:tblGrid>
        <w:gridCol w:w="2512"/>
        <w:gridCol w:w="1655"/>
        <w:gridCol w:w="621"/>
      </w:tblGrid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64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Grupe brodova u GT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64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osnovna naknada</w:t>
            </w:r>
          </w:p>
        </w:tc>
      </w:tr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do 1.000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588,29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1.001 – 2.000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756,37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2.001 – 3.000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882,43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3.001 – 4.000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1050,51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4.001 – 5.000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1176,57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5.001 – 10.000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1449,70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10.001 – 20.000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2416,17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20.001 – 30.000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225" w:line="240" w:lineRule="auto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2899,40</w:t>
            </w:r>
          </w:p>
        </w:tc>
        <w:tc>
          <w:tcPr>
            <w:tcW w:w="62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  <w:tr w:rsidR="009435C6" w:rsidRPr="009435C6" w:rsidTr="009435C6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85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30.001 – 50.000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5C6" w:rsidRPr="009435C6" w:rsidRDefault="009435C6" w:rsidP="009435C6">
            <w:pPr>
              <w:tabs>
                <w:tab w:val="left" w:pos="720"/>
              </w:tabs>
              <w:spacing w:before="100" w:beforeAutospacing="1" w:after="85" w:line="240" w:lineRule="auto"/>
              <w:jc w:val="right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9435C6">
              <w:rPr>
                <w:rFonts w:ascii="Calibri" w:eastAsia="Times New Roman" w:hAnsi="Calibri" w:cs="Calibri"/>
                <w:color w:val="666666"/>
                <w:sz w:val="24"/>
                <w:szCs w:val="24"/>
                <w:lang w:eastAsia="hr-HR"/>
              </w:rPr>
              <w:t>4832,35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C6" w:rsidRPr="009435C6" w:rsidRDefault="009435C6" w:rsidP="009435C6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9435C6" w:rsidRPr="009435C6" w:rsidRDefault="009435C6" w:rsidP="009435C6">
      <w:pPr>
        <w:spacing w:before="100" w:beforeAutospacing="1" w:after="225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hr-HR"/>
        </w:rPr>
        <w:t xml:space="preserve">    </w:t>
      </w:r>
      <w:r w:rsidRPr="009435C6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hr-HR"/>
        </w:rPr>
        <w:t xml:space="preserve">– naknada A </w:t>
      </w:r>
      <w:r w:rsidRPr="009435C6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>kod dolaska/odlaska brodova u/iz luke Pula, primjenjuje se osnovna naknada;</w:t>
      </w:r>
    </w:p>
    <w:p w:rsidR="009435C6" w:rsidRPr="009435C6" w:rsidRDefault="009435C6" w:rsidP="009435C6">
      <w:pPr>
        <w:spacing w:before="100" w:beforeAutospacing="1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  <w:r w:rsidRPr="009435C6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hr-HR"/>
        </w:rPr>
        <w:t>–</w:t>
      </w:r>
      <w:r w:rsidRPr="009435C6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 xml:space="preserve"> </w:t>
      </w:r>
      <w:r w:rsidRPr="009435C6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hr-HR"/>
        </w:rPr>
        <w:t>naknada B</w:t>
      </w:r>
      <w:r w:rsidRPr="009435C6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t xml:space="preserve"> kod dolaska/odlaska brodova za luke izvan središta peljarskoga trgovačkog društva, osnovna naknada uvećava se za 20%.</w:t>
      </w:r>
    </w:p>
    <w:p w:rsidR="00A64554" w:rsidRDefault="00A64554"/>
    <w:sectPr w:rsidR="00A64554" w:rsidSect="00A6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5C6"/>
    <w:rsid w:val="003B52A3"/>
    <w:rsid w:val="007E352A"/>
    <w:rsid w:val="009435C6"/>
    <w:rsid w:val="00A64554"/>
    <w:rsid w:val="00CA14C5"/>
    <w:rsid w:val="00E5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8-2"/>
    <w:basedOn w:val="Normal"/>
    <w:rsid w:val="009435C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2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169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115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Istra Pilot d.o.o.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 Pilot</dc:creator>
  <cp:keywords/>
  <dc:description/>
  <cp:lastModifiedBy>Istra Pilot</cp:lastModifiedBy>
  <cp:revision>2</cp:revision>
  <dcterms:created xsi:type="dcterms:W3CDTF">2017-08-23T08:39:00Z</dcterms:created>
  <dcterms:modified xsi:type="dcterms:W3CDTF">2017-08-23T08:40:00Z</dcterms:modified>
</cp:coreProperties>
</file>